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496" w:rsidRPr="00280956" w:rsidRDefault="00F33496" w:rsidP="00F3349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00267611" w:rsidRPr="00267611">
        <w:rPr>
          <w:rFonts w:ascii="Arial" w:hAnsi="Arial" w:cs="Arial"/>
          <w:b/>
          <w:bCs/>
          <w:sz w:val="28"/>
        </w:rPr>
        <w:t>R1-1710353</w:t>
      </w:r>
    </w:p>
    <w:p w:rsidR="00F33496" w:rsidRDefault="00F33496" w:rsidP="00F33496">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F33496">
        <w:rPr>
          <w:rFonts w:ascii="Arial" w:eastAsia="맑은 고딕" w:hAnsi="Arial"/>
          <w:sz w:val="24"/>
          <w:lang w:val="en-US" w:eastAsia="ko-KR"/>
        </w:rPr>
        <w:t>5</w:t>
      </w:r>
      <w:r w:rsidR="00F3553F">
        <w:rPr>
          <w:rFonts w:ascii="Arial" w:eastAsia="맑은 고딕" w:hAnsi="Arial"/>
          <w:sz w:val="24"/>
          <w:lang w:val="en-US" w:eastAsia="ko-KR"/>
        </w:rPr>
        <w:t>.1.</w:t>
      </w:r>
      <w:r w:rsidR="00267611">
        <w:rPr>
          <w:rFonts w:ascii="Arial" w:eastAsia="맑은 고딕" w:hAnsi="Arial"/>
          <w:sz w:val="24"/>
          <w:lang w:val="en-US" w:eastAsia="ko-KR"/>
        </w:rPr>
        <w:t>8</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67611" w:rsidRPr="00267611">
        <w:rPr>
          <w:rFonts w:ascii="Arial" w:eastAsiaTheme="minorEastAsia" w:hAnsi="Arial"/>
          <w:sz w:val="24"/>
          <w:lang w:eastAsia="ko-KR"/>
        </w:rPr>
        <w:t>Remaining details on DL sharing between LTE and NR</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1938B2" w:rsidRPr="00560857" w:rsidRDefault="00DE14FB" w:rsidP="00560857">
      <w:pPr>
        <w:ind w:left="0" w:firstLine="0"/>
        <w:rPr>
          <w:rFonts w:eastAsiaTheme="minorEastAsia" w:hint="eastAsia"/>
          <w:sz w:val="22"/>
          <w:szCs w:val="22"/>
          <w:lang w:eastAsia="ko-KR"/>
        </w:rPr>
      </w:pPr>
      <w:r>
        <w:rPr>
          <w:rFonts w:eastAsiaTheme="minorEastAsia" w:hint="eastAsia"/>
          <w:sz w:val="22"/>
          <w:szCs w:val="22"/>
          <w:lang w:eastAsia="ko-KR"/>
        </w:rPr>
        <w:t>T</w:t>
      </w:r>
      <w:r>
        <w:rPr>
          <w:rFonts w:eastAsiaTheme="minorEastAsia"/>
          <w:sz w:val="22"/>
          <w:szCs w:val="22"/>
          <w:lang w:eastAsia="ko-KR"/>
        </w:rPr>
        <w:t xml:space="preserve">his contribution discusses remaining issues for LTE-NR sharing on downlink resources. </w:t>
      </w:r>
    </w:p>
    <w:p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1C237E">
        <w:rPr>
          <w:rFonts w:eastAsiaTheme="minorEastAsia" w:cs="Arial"/>
          <w:b/>
          <w:szCs w:val="28"/>
          <w:lang w:eastAsia="ko-KR"/>
        </w:rPr>
        <w:t>SS block</w:t>
      </w:r>
      <w:r w:rsidR="00BC5A98">
        <w:rPr>
          <w:rFonts w:eastAsiaTheme="minorEastAsia" w:cs="Arial"/>
          <w:b/>
          <w:szCs w:val="28"/>
          <w:lang w:eastAsia="ko-KR"/>
        </w:rPr>
        <w:t xml:space="preserve"> transmission</w:t>
      </w:r>
    </w:p>
    <w:p w:rsidR="00BC5A98" w:rsidRDefault="00BC5A98" w:rsidP="00BC5A98">
      <w:pPr>
        <w:ind w:left="0" w:firstLine="0"/>
        <w:rPr>
          <w:rFonts w:eastAsiaTheme="minorEastAsia"/>
          <w:lang w:eastAsia="ko-KR"/>
        </w:rPr>
      </w:pPr>
      <w:r>
        <w:rPr>
          <w:rFonts w:eastAsiaTheme="minorEastAsia" w:hint="cs"/>
          <w:lang w:eastAsia="ko-KR"/>
        </w:rPr>
        <w:t>The possible scenario</w:t>
      </w:r>
      <w:r>
        <w:rPr>
          <w:rFonts w:eastAsiaTheme="minorEastAsia"/>
          <w:lang w:eastAsia="ko-KR"/>
        </w:rPr>
        <w:t>s</w:t>
      </w:r>
      <w:r>
        <w:rPr>
          <w:rFonts w:eastAsiaTheme="minorEastAsia" w:hint="cs"/>
          <w:lang w:eastAsia="ko-KR"/>
        </w:rPr>
        <w:t xml:space="preserve"> of downlink sharing between LTE and NR can include </w:t>
      </w:r>
      <w:r>
        <w:rPr>
          <w:rFonts w:eastAsiaTheme="minorEastAsia"/>
          <w:lang w:eastAsia="ko-KR"/>
        </w:rPr>
        <w:t xml:space="preserve">FDM, TDM, and FDM + TDM in different subframe. When FDM is used, it is assumed that NR carrier and LTE carrier do not share the frequency. Thus, transmission of SS block can be performed equally to other NR carrier as long as the bandwidth of NR carrier exceeds the required minimum bandwidth for SS block transmission. </w:t>
      </w:r>
      <w:r w:rsidR="008E4A10">
        <w:rPr>
          <w:rFonts w:eastAsiaTheme="minorEastAsia"/>
          <w:lang w:eastAsia="ko-KR"/>
        </w:rPr>
        <w:t xml:space="preserve">For FDM+TDM is used, if FDM portion is sufficiently large than SS block bandwidth, SS block can be transmitted in FDM portion. </w:t>
      </w:r>
      <w:r>
        <w:rPr>
          <w:rFonts w:eastAsiaTheme="minorEastAsia"/>
          <w:lang w:eastAsia="ko-KR"/>
        </w:rPr>
        <w:t>When TDM is used, to avoid CRS OFDM symbols by NR signals, it is challenging to transmit SS block in LTE normal subframes. One approach is to transmit SS block in MBSFN subframes</w:t>
      </w:r>
      <w:r w:rsidR="00370BDD">
        <w:rPr>
          <w:rFonts w:eastAsiaTheme="minorEastAsia"/>
          <w:lang w:eastAsia="ko-KR"/>
        </w:rPr>
        <w:t xml:space="preserve">. In case SS blocks are transmitted in a defined set of subframes/slots, LTE and NR frame boundary can be shifted such that SS block can be transmitted in LTE MBSFN subframes. </w:t>
      </w:r>
    </w:p>
    <w:p w:rsidR="002333A2" w:rsidRDefault="002333A2" w:rsidP="002333A2">
      <w:pPr>
        <w:ind w:left="0" w:firstLine="0"/>
        <w:jc w:val="center"/>
        <w:rPr>
          <w:rFonts w:eastAsiaTheme="minorEastAsia"/>
          <w:lang w:eastAsia="ko-KR"/>
        </w:rPr>
      </w:pPr>
      <w:r w:rsidRPr="002333A2">
        <w:rPr>
          <w:noProof/>
          <w:lang w:val="en-US" w:eastAsia="ko-KR"/>
        </w:rPr>
        <w:drawing>
          <wp:inline distT="0" distB="0" distL="0" distR="0">
            <wp:extent cx="5040497" cy="304858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4780" cy="3051177"/>
                    </a:xfrm>
                    <a:prstGeom prst="rect">
                      <a:avLst/>
                    </a:prstGeom>
                    <a:noFill/>
                    <a:ln>
                      <a:noFill/>
                    </a:ln>
                  </pic:spPr>
                </pic:pic>
              </a:graphicData>
            </a:graphic>
          </wp:inline>
        </w:drawing>
      </w:r>
    </w:p>
    <w:p w:rsidR="002333A2" w:rsidRDefault="002333A2" w:rsidP="002333A2">
      <w:pPr>
        <w:pStyle w:val="af"/>
        <w:jc w:val="center"/>
      </w:pPr>
      <w:bookmarkStart w:id="3" w:name="_Ref485310310"/>
      <w:r>
        <w:t xml:space="preserve">Figure </w:t>
      </w:r>
      <w:r>
        <w:fldChar w:fldCharType="begin"/>
      </w:r>
      <w:r>
        <w:instrText xml:space="preserve"> SEQ Figure \* ARABIC </w:instrText>
      </w:r>
      <w:r>
        <w:fldChar w:fldCharType="separate"/>
      </w:r>
      <w:r w:rsidR="00917F70">
        <w:rPr>
          <w:noProof/>
        </w:rPr>
        <w:t>1</w:t>
      </w:r>
      <w:r>
        <w:fldChar w:fldCharType="end"/>
      </w:r>
      <w:bookmarkEnd w:id="3"/>
      <w:r>
        <w:t>. Illustration of SS block transmission in NR carrier</w:t>
      </w:r>
    </w:p>
    <w:p w:rsidR="002333A2" w:rsidRDefault="002333A2" w:rsidP="002333A2">
      <w:pPr>
        <w:ind w:left="0" w:firstLine="0"/>
        <w:rPr>
          <w:rFonts w:eastAsiaTheme="minorEastAsia"/>
          <w:lang w:eastAsia="ko-KR"/>
        </w:rPr>
      </w:pPr>
      <w:r>
        <w:rPr>
          <w:rFonts w:eastAsiaTheme="minorEastAsia" w:hint="eastAsia"/>
          <w:lang w:eastAsia="ko-KR"/>
        </w:rPr>
        <w:t xml:space="preserve">As MBSFN subframe may use 2 OFDM symbols for LTE PDCCH, if SS block is placed OFDM symbol 3 to 6, there is no room for RMSI CORESET in the first slot of MBSFN subframe. </w:t>
      </w:r>
      <w:r>
        <w:rPr>
          <w:rFonts w:eastAsiaTheme="minorEastAsia"/>
          <w:lang w:eastAsia="ko-KR"/>
        </w:rPr>
        <w:t xml:space="preserve">Thus, it can be considered to utilize 7 OS slot for </w:t>
      </w:r>
      <w:r>
        <w:rPr>
          <w:rFonts w:eastAsiaTheme="minorEastAsia"/>
          <w:lang w:eastAsia="ko-KR"/>
        </w:rPr>
        <w:lastRenderedPageBreak/>
        <w:t xml:space="preserve">RMSI transmission or mini-slot transmission for RMSI transmission. </w:t>
      </w:r>
      <w:r>
        <w:rPr>
          <w:rFonts w:eastAsiaTheme="minorEastAsia"/>
          <w:lang w:eastAsia="ko-KR"/>
        </w:rPr>
        <w:fldChar w:fldCharType="begin"/>
      </w:r>
      <w:r>
        <w:rPr>
          <w:rFonts w:eastAsiaTheme="minorEastAsia"/>
          <w:lang w:eastAsia="ko-KR"/>
        </w:rPr>
        <w:instrText xml:space="preserve"> REF _Ref485310310 \h </w:instrText>
      </w:r>
      <w:r>
        <w:rPr>
          <w:rFonts w:eastAsiaTheme="minorEastAsia"/>
          <w:lang w:eastAsia="ko-KR"/>
        </w:rPr>
      </w:r>
      <w:r>
        <w:rPr>
          <w:rFonts w:eastAsiaTheme="minorEastAsia"/>
          <w:lang w:eastAsia="ko-KR"/>
        </w:rPr>
        <w:fldChar w:fldCharType="separate"/>
      </w:r>
      <w:r>
        <w:t xml:space="preserve">Figure </w:t>
      </w:r>
      <w:r>
        <w:rPr>
          <w:noProof/>
        </w:rPr>
        <w:t>1</w:t>
      </w:r>
      <w:r>
        <w:rPr>
          <w:rFonts w:eastAsiaTheme="minorEastAsia"/>
          <w:lang w:eastAsia="ko-KR"/>
        </w:rPr>
        <w:fldChar w:fldCharType="end"/>
      </w:r>
      <w:r>
        <w:rPr>
          <w:rFonts w:eastAsiaTheme="minorEastAsia"/>
          <w:lang w:eastAsia="ko-KR"/>
        </w:rPr>
        <w:t xml:space="preserve"> shows an example of transmission of SS block, and RMSI CORESET and RMSI PDSCH in one of MBSFN subframe. </w:t>
      </w:r>
    </w:p>
    <w:p w:rsidR="001468EE" w:rsidRDefault="001468EE" w:rsidP="002333A2">
      <w:pPr>
        <w:ind w:left="0" w:firstLine="0"/>
        <w:rPr>
          <w:rFonts w:eastAsiaTheme="minorEastAsia"/>
          <w:lang w:eastAsia="ko-KR"/>
        </w:rPr>
      </w:pPr>
      <w:r>
        <w:rPr>
          <w:rFonts w:eastAsiaTheme="minorEastAsia"/>
          <w:lang w:eastAsia="ko-KR"/>
        </w:rPr>
        <w:t xml:space="preserve">In other words, reserved resource for LTE PDCCH in MBSFN subframe may be indicated for RMSI transmission or RMSI may be transmitted in second slot of LTE MBSFN subframe. </w:t>
      </w:r>
      <w:r w:rsidR="00A46668">
        <w:rPr>
          <w:rFonts w:eastAsiaTheme="minorEastAsia"/>
          <w:lang w:eastAsia="ko-KR"/>
        </w:rPr>
        <w:t xml:space="preserve">Alternatively, one bit can be indicated in PBCH which indicates LTE-NR TDM. If this flag is indicated, a UE can assume that at least 2 symbols in each subframe are reserved for LTE signals. Based on the information, different SS block mapping may be assumed. </w:t>
      </w:r>
    </w:p>
    <w:p w:rsidR="00A46668" w:rsidRDefault="00A46668" w:rsidP="002333A2">
      <w:pPr>
        <w:ind w:left="0" w:firstLine="0"/>
        <w:rPr>
          <w:rFonts w:eastAsiaTheme="minorEastAsia"/>
          <w:b/>
          <w:i/>
          <w:lang w:eastAsia="ko-KR"/>
        </w:rPr>
      </w:pPr>
      <w:r w:rsidRPr="003E7DC9">
        <w:rPr>
          <w:rFonts w:eastAsiaTheme="minorEastAsia"/>
          <w:b/>
          <w:i/>
          <w:lang w:eastAsia="ko-KR"/>
        </w:rPr>
        <w:t xml:space="preserve">Proposal 1: If NR supports stand-alone operation when NR carrier shares spectrum with LTE in TDM manner, </w:t>
      </w:r>
      <w:r w:rsidR="003E7DC9" w:rsidRPr="003E7DC9">
        <w:rPr>
          <w:rFonts w:eastAsiaTheme="minorEastAsia"/>
          <w:b/>
          <w:i/>
          <w:lang w:eastAsia="ko-KR"/>
        </w:rPr>
        <w:t xml:space="preserve">necessary signalling to indicate reserved resource for LTE signals should be supported. </w:t>
      </w:r>
    </w:p>
    <w:p w:rsidR="003E7DC9" w:rsidRDefault="00FB0997" w:rsidP="002333A2">
      <w:pPr>
        <w:ind w:left="0" w:firstLine="0"/>
        <w:rPr>
          <w:rFonts w:eastAsiaTheme="minorEastAsia"/>
          <w:lang w:eastAsia="ko-KR"/>
        </w:rPr>
      </w:pPr>
      <w:r>
        <w:rPr>
          <w:rFonts w:eastAsiaTheme="minorEastAsia"/>
          <w:lang w:eastAsia="ko-KR"/>
        </w:rPr>
        <w:t>Also, SS block transmission is expected to be periodic where default periodicity is 20 msec. When there are MBMS transmission in the configured MBSFN subframe for NR SS block transmission, the resource may be indicated to UEs such that a UE can assume SS block would be skipped in such subframes.</w:t>
      </w:r>
    </w:p>
    <w:p w:rsidR="000C3933" w:rsidRDefault="000C3933" w:rsidP="000C3933">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2248EE">
        <w:rPr>
          <w:rFonts w:eastAsiaTheme="minorEastAsia" w:cs="Arial"/>
          <w:b/>
          <w:szCs w:val="28"/>
          <w:lang w:eastAsia="ko-KR"/>
        </w:rPr>
        <w:t>PRB grid alignment</w:t>
      </w:r>
    </w:p>
    <w:p w:rsidR="002248EE" w:rsidRDefault="002248EE" w:rsidP="002248EE">
      <w:pPr>
        <w:ind w:left="0" w:firstLine="0"/>
        <w:rPr>
          <w:rFonts w:eastAsiaTheme="minorEastAsia"/>
          <w:lang w:eastAsia="ko-KR"/>
        </w:rPr>
      </w:pPr>
      <w:r>
        <w:rPr>
          <w:rFonts w:eastAsiaTheme="minorEastAsia" w:hint="eastAsia"/>
          <w:lang w:eastAsia="ko-KR"/>
        </w:rPr>
        <w:t xml:space="preserve">When LTE and NR are TDM-ed, PRB grid alignment between LTE and NR are not easily feasible due to DC tone and odd system bandwidth. </w:t>
      </w:r>
      <w:r>
        <w:rPr>
          <w:rFonts w:eastAsiaTheme="minorEastAsia"/>
          <w:lang w:eastAsia="ko-KR"/>
        </w:rPr>
        <w:t>In NR, a UE may not know system bandwidth at PBCH reading. Thus, without system bandwidth information, PRB grid for RMSI and other signaling needs to be constructed. As discussed in our companion contribution [</w:t>
      </w:r>
      <w:r w:rsidR="00DE14FB">
        <w:rPr>
          <w:rFonts w:eastAsiaTheme="minorEastAsia"/>
          <w:lang w:eastAsia="ko-KR"/>
        </w:rPr>
        <w:t>1</w:t>
      </w:r>
      <w:r>
        <w:rPr>
          <w:rFonts w:eastAsiaTheme="minorEastAsia"/>
          <w:lang w:eastAsia="ko-KR"/>
        </w:rPr>
        <w:t xml:space="preserve">], PRB grid can be constructed based on </w:t>
      </w:r>
      <w:r w:rsidR="00917F70">
        <w:rPr>
          <w:rFonts w:eastAsiaTheme="minorEastAsia"/>
          <w:lang w:eastAsia="ko-KR"/>
        </w:rPr>
        <w:t xml:space="preserve">SS block or center of carrier. </w:t>
      </w:r>
      <w:r w:rsidR="00917F70">
        <w:rPr>
          <w:rFonts w:eastAsiaTheme="minorEastAsia"/>
          <w:lang w:eastAsia="ko-KR"/>
        </w:rPr>
        <w:fldChar w:fldCharType="begin"/>
      </w:r>
      <w:r w:rsidR="00917F70">
        <w:rPr>
          <w:rFonts w:eastAsiaTheme="minorEastAsia"/>
          <w:lang w:eastAsia="ko-KR"/>
        </w:rPr>
        <w:instrText xml:space="preserve"> REF _Ref485315663 \h </w:instrText>
      </w:r>
      <w:r w:rsidR="00917F70">
        <w:rPr>
          <w:rFonts w:eastAsiaTheme="minorEastAsia"/>
          <w:lang w:eastAsia="ko-KR"/>
        </w:rPr>
      </w:r>
      <w:r w:rsidR="00917F70">
        <w:rPr>
          <w:rFonts w:eastAsiaTheme="minorEastAsia"/>
          <w:lang w:eastAsia="ko-KR"/>
        </w:rPr>
        <w:fldChar w:fldCharType="separate"/>
      </w:r>
      <w:r w:rsidR="00917F70">
        <w:t xml:space="preserve">Figure </w:t>
      </w:r>
      <w:r w:rsidR="00917F70">
        <w:rPr>
          <w:noProof/>
        </w:rPr>
        <w:t>2</w:t>
      </w:r>
      <w:r w:rsidR="00917F70">
        <w:rPr>
          <w:rFonts w:eastAsiaTheme="minorEastAsia"/>
          <w:lang w:eastAsia="ko-KR"/>
        </w:rPr>
        <w:fldChar w:fldCharType="end"/>
      </w:r>
      <w:r w:rsidR="00917F70">
        <w:rPr>
          <w:rFonts w:eastAsiaTheme="minorEastAsia"/>
          <w:lang w:eastAsia="ko-KR"/>
        </w:rPr>
        <w:t xml:space="preserve"> shows an example of PRB grids in LTE and NR. </w:t>
      </w:r>
    </w:p>
    <w:p w:rsidR="00917F70" w:rsidRDefault="00917F70" w:rsidP="00917F70">
      <w:pPr>
        <w:ind w:left="0" w:firstLine="0"/>
        <w:jc w:val="center"/>
        <w:rPr>
          <w:rFonts w:eastAsiaTheme="minorEastAsia"/>
          <w:lang w:eastAsia="ko-KR"/>
        </w:rPr>
      </w:pPr>
      <w:r w:rsidRPr="00917F70">
        <w:rPr>
          <w:rFonts w:hint="eastAsia"/>
          <w:noProof/>
          <w:lang w:val="en-US" w:eastAsia="ko-KR"/>
        </w:rPr>
        <w:drawing>
          <wp:inline distT="0" distB="0" distL="0" distR="0">
            <wp:extent cx="3326433" cy="3559972"/>
            <wp:effectExtent l="0" t="0" r="762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7679" cy="3561306"/>
                    </a:xfrm>
                    <a:prstGeom prst="rect">
                      <a:avLst/>
                    </a:prstGeom>
                    <a:noFill/>
                    <a:ln>
                      <a:noFill/>
                    </a:ln>
                  </pic:spPr>
                </pic:pic>
              </a:graphicData>
            </a:graphic>
          </wp:inline>
        </w:drawing>
      </w:r>
    </w:p>
    <w:p w:rsidR="00917F70" w:rsidRDefault="00917F70" w:rsidP="00917F70">
      <w:pPr>
        <w:pStyle w:val="af"/>
        <w:jc w:val="center"/>
      </w:pPr>
      <w:bookmarkStart w:id="4" w:name="_Ref485315663"/>
      <w:r>
        <w:t xml:space="preserve">Figure </w:t>
      </w:r>
      <w:r>
        <w:fldChar w:fldCharType="begin"/>
      </w:r>
      <w:r>
        <w:instrText xml:space="preserve"> SEQ Figure \* ARABIC </w:instrText>
      </w:r>
      <w:r>
        <w:fldChar w:fldCharType="separate"/>
      </w:r>
      <w:r>
        <w:rPr>
          <w:noProof/>
        </w:rPr>
        <w:t>2</w:t>
      </w:r>
      <w:r>
        <w:fldChar w:fldCharType="end"/>
      </w:r>
      <w:bookmarkEnd w:id="4"/>
      <w:r>
        <w:t>. Mis-aligned PRBs between LTE and NR</w:t>
      </w:r>
    </w:p>
    <w:p w:rsidR="00917F70" w:rsidRPr="00917F70" w:rsidRDefault="00917F70" w:rsidP="00917F70">
      <w:pPr>
        <w:ind w:left="0" w:firstLine="0"/>
        <w:rPr>
          <w:rFonts w:eastAsiaTheme="minorEastAsia"/>
          <w:lang w:eastAsia="ko-KR"/>
        </w:rPr>
      </w:pPr>
      <w:r>
        <w:rPr>
          <w:rFonts w:eastAsiaTheme="minorEastAsia" w:hint="eastAsia"/>
          <w:lang w:eastAsia="ko-KR"/>
        </w:rPr>
        <w:t xml:space="preserve">Thus, when dynamic scheduling of NR in normal subframe </w:t>
      </w:r>
      <w:r>
        <w:rPr>
          <w:rFonts w:eastAsiaTheme="minorEastAsia"/>
          <w:lang w:eastAsia="ko-KR"/>
        </w:rPr>
        <w:t xml:space="preserve">using mini-slot </w:t>
      </w:r>
      <w:r>
        <w:rPr>
          <w:rFonts w:eastAsiaTheme="minorEastAsia" w:hint="eastAsia"/>
          <w:lang w:eastAsia="ko-KR"/>
        </w:rPr>
        <w:t xml:space="preserve">or MBSFN subframe is used for FDM between NR and LTE, </w:t>
      </w:r>
      <w:r>
        <w:rPr>
          <w:rFonts w:eastAsiaTheme="minorEastAsia"/>
          <w:lang w:eastAsia="ko-KR"/>
        </w:rPr>
        <w:t xml:space="preserve">scheduling should avoid overlaps of LTE and NR PRBs in one or more of subcarriers. </w:t>
      </w:r>
    </w:p>
    <w:p w:rsidR="00FB0997" w:rsidRPr="003E7DC9" w:rsidRDefault="00FB0997" w:rsidP="002333A2">
      <w:pPr>
        <w:ind w:left="0" w:firstLine="0"/>
        <w:rPr>
          <w:rFonts w:eastAsiaTheme="minorEastAsia"/>
          <w:lang w:eastAsia="ko-KR"/>
        </w:rPr>
      </w:pPr>
    </w:p>
    <w:p w:rsidR="00ED1F6F" w:rsidRDefault="00ED1F6F" w:rsidP="003A5BEE">
      <w:pPr>
        <w:pStyle w:val="1"/>
        <w:numPr>
          <w:ilvl w:val="0"/>
          <w:numId w:val="2"/>
        </w:numPr>
        <w:rPr>
          <w:rFonts w:eastAsia="바탕"/>
          <w:b/>
          <w:lang w:eastAsia="ko-KR"/>
        </w:rPr>
      </w:pPr>
      <w:r>
        <w:rPr>
          <w:rFonts w:eastAsia="바탕"/>
          <w:b/>
          <w:lang w:eastAsia="ko-KR"/>
        </w:rPr>
        <w:t>Conclusion</w:t>
      </w:r>
    </w:p>
    <w:p w:rsidR="00DE14FB" w:rsidRPr="00DE14FB" w:rsidRDefault="00DE14FB" w:rsidP="00DE14FB">
      <w:pPr>
        <w:ind w:left="0" w:firstLine="0"/>
        <w:rPr>
          <w:rFonts w:eastAsiaTheme="minorEastAsia" w:hint="eastAsia"/>
          <w:lang w:eastAsia="ko-KR"/>
        </w:rPr>
      </w:pPr>
      <w:r>
        <w:rPr>
          <w:rFonts w:eastAsiaTheme="minorEastAsia"/>
          <w:lang w:eastAsia="ko-KR"/>
        </w:rPr>
        <w:t xml:space="preserve">We proposed the followings. </w:t>
      </w:r>
    </w:p>
    <w:p w:rsidR="00055840" w:rsidRPr="00DE14FB" w:rsidRDefault="00DE14FB" w:rsidP="008D5C57">
      <w:pPr>
        <w:ind w:left="0" w:hanging="1"/>
        <w:rPr>
          <w:rFonts w:eastAsia="맑은 고딕"/>
          <w:b/>
          <w:i/>
          <w:sz w:val="22"/>
          <w:lang w:val="en-US" w:eastAsia="ko-KR"/>
        </w:rPr>
      </w:pPr>
      <w:r w:rsidRPr="00DE14FB">
        <w:rPr>
          <w:rFonts w:eastAsia="맑은 고딕"/>
          <w:b/>
          <w:i/>
          <w:sz w:val="22"/>
          <w:lang w:val="en-US" w:eastAsia="ko-KR"/>
        </w:rPr>
        <w:t>Proposal 1: If NR supports stand-alone operation when NR carrier shares spectrum with LTE in TDM manner, necessary signalling to indicate reserved resource for LTE signals should be supported.</w:t>
      </w:r>
    </w:p>
    <w:p w:rsidR="00DE14FB" w:rsidRPr="00DE14FB" w:rsidRDefault="00C1458F" w:rsidP="00767613">
      <w:pPr>
        <w:pStyle w:val="1"/>
        <w:numPr>
          <w:ilvl w:val="0"/>
          <w:numId w:val="1"/>
        </w:numPr>
        <w:spacing w:before="180"/>
        <w:rPr>
          <w:rFonts w:eastAsia="맑은 고딕"/>
          <w:szCs w:val="22"/>
          <w:lang w:eastAsia="ko-KR"/>
        </w:rPr>
      </w:pPr>
      <w:r w:rsidRPr="00DE14FB">
        <w:rPr>
          <w:rFonts w:eastAsia="바탕" w:hint="eastAsia"/>
          <w:b/>
          <w:lang w:eastAsia="ko-KR"/>
        </w:rPr>
        <w:t>Reference</w:t>
      </w:r>
    </w:p>
    <w:p w:rsidR="00B057D6" w:rsidRPr="00DE14FB" w:rsidRDefault="00DE14FB" w:rsidP="00DE14FB">
      <w:pPr>
        <w:pStyle w:val="af"/>
        <w:ind w:left="0" w:firstLine="0"/>
        <w:rPr>
          <w:rFonts w:eastAsia="맑은 고딕"/>
          <w:b w:val="0"/>
          <w:sz w:val="22"/>
          <w:szCs w:val="22"/>
        </w:rPr>
      </w:pPr>
      <w:bookmarkStart w:id="5" w:name="_GoBack"/>
      <w:bookmarkEnd w:id="5"/>
      <w:r w:rsidRPr="00DE14FB">
        <w:rPr>
          <w:rFonts w:eastAsia="바탕"/>
          <w:b w:val="0"/>
          <w:sz w:val="22"/>
          <w:szCs w:val="22"/>
        </w:rPr>
        <w:t xml:space="preserve">[1] </w:t>
      </w:r>
      <w:r w:rsidRPr="00DE14FB">
        <w:rPr>
          <w:b w:val="0"/>
          <w:sz w:val="22"/>
          <w:szCs w:val="22"/>
        </w:rPr>
        <w:t>R1-171032, “Remaining details on wider bandwidth operation”, LG Electronics</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C13" w:rsidRDefault="00286C13" w:rsidP="00CB15B0">
      <w:pPr>
        <w:spacing w:before="0" w:after="0" w:line="240" w:lineRule="auto"/>
      </w:pPr>
      <w:r>
        <w:separator/>
      </w:r>
    </w:p>
  </w:endnote>
  <w:endnote w:type="continuationSeparator" w:id="0">
    <w:p w:rsidR="00286C13" w:rsidRDefault="00286C1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C13" w:rsidRDefault="00286C13" w:rsidP="00CB15B0">
      <w:pPr>
        <w:spacing w:before="0" w:after="0" w:line="240" w:lineRule="auto"/>
      </w:pPr>
      <w:r>
        <w:separator/>
      </w:r>
    </w:p>
  </w:footnote>
  <w:footnote w:type="continuationSeparator" w:id="0">
    <w:p w:rsidR="00286C13" w:rsidRDefault="00286C1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6" type="#_x0000_t75" style="width:8.85pt;height:8.85pt" o:bullet="t">
        <v:imagedata r:id="rId1" o:title="art1E0A"/>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1"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3"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0"/>
  </w:num>
  <w:num w:numId="2">
    <w:abstractNumId w:val="30"/>
  </w:num>
  <w:num w:numId="3">
    <w:abstractNumId w:val="0"/>
  </w:num>
  <w:num w:numId="4">
    <w:abstractNumId w:val="20"/>
  </w:num>
  <w:num w:numId="5">
    <w:abstractNumId w:val="10"/>
  </w:num>
  <w:num w:numId="6">
    <w:abstractNumId w:val="8"/>
  </w:num>
  <w:num w:numId="7">
    <w:abstractNumId w:val="31"/>
  </w:num>
  <w:num w:numId="8">
    <w:abstractNumId w:val="26"/>
  </w:num>
  <w:num w:numId="9">
    <w:abstractNumId w:val="16"/>
  </w:num>
  <w:num w:numId="10">
    <w:abstractNumId w:val="23"/>
  </w:num>
  <w:num w:numId="11">
    <w:abstractNumId w:val="35"/>
  </w:num>
  <w:num w:numId="12">
    <w:abstractNumId w:val="24"/>
  </w:num>
  <w:num w:numId="13">
    <w:abstractNumId w:val="14"/>
  </w:num>
  <w:num w:numId="14">
    <w:abstractNumId w:val="15"/>
  </w:num>
  <w:num w:numId="15">
    <w:abstractNumId w:val="32"/>
  </w:num>
  <w:num w:numId="16">
    <w:abstractNumId w:val="12"/>
  </w:num>
  <w:num w:numId="17">
    <w:abstractNumId w:val="5"/>
  </w:num>
  <w:num w:numId="18">
    <w:abstractNumId w:val="13"/>
  </w:num>
  <w:num w:numId="19">
    <w:abstractNumId w:val="21"/>
  </w:num>
  <w:num w:numId="20">
    <w:abstractNumId w:val="33"/>
  </w:num>
  <w:num w:numId="21">
    <w:abstractNumId w:val="27"/>
  </w:num>
  <w:num w:numId="22">
    <w:abstractNumId w:val="1"/>
  </w:num>
  <w:num w:numId="23">
    <w:abstractNumId w:val="28"/>
  </w:num>
  <w:num w:numId="24">
    <w:abstractNumId w:val="17"/>
  </w:num>
  <w:num w:numId="25">
    <w:abstractNumId w:val="18"/>
  </w:num>
  <w:num w:numId="26">
    <w:abstractNumId w:val="4"/>
  </w:num>
  <w:num w:numId="27">
    <w:abstractNumId w:val="9"/>
  </w:num>
  <w:num w:numId="28">
    <w:abstractNumId w:val="34"/>
  </w:num>
  <w:num w:numId="29">
    <w:abstractNumId w:val="6"/>
  </w:num>
  <w:num w:numId="30">
    <w:abstractNumId w:val="25"/>
  </w:num>
  <w:num w:numId="31">
    <w:abstractNumId w:val="22"/>
  </w:num>
  <w:num w:numId="32">
    <w:abstractNumId w:val="11"/>
  </w:num>
  <w:num w:numId="33">
    <w:abstractNumId w:val="2"/>
  </w:num>
  <w:num w:numId="34">
    <w:abstractNumId w:val="3"/>
  </w:num>
  <w:num w:numId="35">
    <w:abstractNumId w:val="7"/>
  </w:num>
  <w:num w:numId="36">
    <w:abstractNumId w:val="19"/>
  </w:num>
  <w:num w:numId="3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933"/>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13"/>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4A10"/>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DD0"/>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94A"/>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4FB"/>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BEC7C-CDD1-42C1-A09D-98524C61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568</Words>
  <Characters>3242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yunjung2</cp:lastModifiedBy>
  <cp:revision>3</cp:revision>
  <cp:lastPrinted>2017-06-13T10:43:00Z</cp:lastPrinted>
  <dcterms:created xsi:type="dcterms:W3CDTF">2017-06-16T21:14:00Z</dcterms:created>
  <dcterms:modified xsi:type="dcterms:W3CDTF">2017-06-16T21:18:00Z</dcterms:modified>
</cp:coreProperties>
</file>